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0F931" w14:textId="77777777" w:rsidR="00357768" w:rsidRDefault="00357768" w:rsidP="0035776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31549868" w14:textId="77777777" w:rsidR="00357768" w:rsidRDefault="00357768" w:rsidP="0035776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15678BD3" w14:textId="77777777" w:rsidR="00357768" w:rsidRDefault="00357768" w:rsidP="0035776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406BE06A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58D1648" w14:textId="77777777" w:rsidR="00357768" w:rsidRDefault="00357768" w:rsidP="0035776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109C7E7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EAD029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E49F0EA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5AC1D78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6F363FB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24F506E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7CD40F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840FAC5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FE151A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2053CD8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DFBFC84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71329D3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5383D47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«қазіргі заманҒЫ қоғам философиясы» (3 кредит) пәні бойынша</w:t>
      </w:r>
    </w:p>
    <w:p w14:paraId="5993740E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08D81DD2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5FCC7DF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D8C93E6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512A8E3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7E5C722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51545D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C23E39A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7DF56C6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E10BCE0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32ABA23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33A59C" w14:textId="77777777" w:rsidR="00357768" w:rsidRDefault="00357768" w:rsidP="00357768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D6523C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C1AFF94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2CBD2FE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06A286C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39DA263" w14:textId="77777777" w:rsidR="00357768" w:rsidRDefault="00357768" w:rsidP="003577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16B59B4" w14:textId="77777777" w:rsidR="00357768" w:rsidRDefault="00357768" w:rsidP="003577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E5D0889" w14:textId="77777777" w:rsidR="00357768" w:rsidRDefault="00357768" w:rsidP="003577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421D47CF" w14:textId="77777777" w:rsidR="00357768" w:rsidRDefault="00357768" w:rsidP="0035776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858BA72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EF596FB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EAE06DB" w14:textId="77777777" w:rsidR="00357768" w:rsidRPr="00973C56" w:rsidRDefault="00357768" w:rsidP="003577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Pr="00973C56"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</w:p>
    <w:p w14:paraId="6549DA25" w14:textId="45228180" w:rsidR="00357768" w:rsidRDefault="00357768" w:rsidP="00357768">
      <w:pPr>
        <w:pStyle w:val="1"/>
        <w:jc w:val="center"/>
        <w:rPr>
          <w:rFonts w:ascii="Times New Roman" w:hAnsi="Times New Roman"/>
          <w:color w:val="auto"/>
          <w:lang w:val="kk-KZ"/>
        </w:rPr>
      </w:pPr>
      <w:r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  <w:r>
        <w:rPr>
          <w:rFonts w:ascii="Times New Roman" w:hAnsi="Times New Roman"/>
          <w:bCs w:val="0"/>
          <w:color w:val="000000"/>
          <w:lang w:val="kk-KZ" w:eastAsia="ru-RU"/>
        </w:rPr>
        <w:t>«ҚАЗІРГІ ЗАМАНҒЫ ҚОҒАМ ФИЛОСОФИЯСЫ» пәні бойынша</w:t>
      </w:r>
      <w:r>
        <w:rPr>
          <w:rFonts w:ascii="Times New Roman" w:hAnsi="Times New Roman"/>
          <w:b w:val="0"/>
          <w:bCs w:val="0"/>
          <w:lang w:val="kk-KZ"/>
        </w:rPr>
        <w:t xml:space="preserve"> </w:t>
      </w:r>
      <w:r>
        <w:rPr>
          <w:rFonts w:ascii="Times New Roman" w:hAnsi="Times New Roman"/>
          <w:color w:val="auto"/>
          <w:lang w:val="kk-KZ"/>
        </w:rPr>
        <w:t>бағдарлама</w:t>
      </w:r>
    </w:p>
    <w:p w14:paraId="5D42AE6F" w14:textId="77777777" w:rsidR="00357768" w:rsidRDefault="00357768" w:rsidP="0035776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2AAEDD" w14:textId="77777777" w:rsidR="00357768" w:rsidRDefault="00357768" w:rsidP="00357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A834C9F" w14:textId="13BBBE58" w:rsidR="00357768" w:rsidRDefault="00357768" w:rsidP="00357768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Емтиханның оқу тақырыптары:</w:t>
      </w:r>
      <w:r w:rsidR="00047C48">
        <w:rPr>
          <w:b/>
          <w:bCs/>
          <w:sz w:val="28"/>
          <w:szCs w:val="28"/>
          <w:lang w:val="kk-KZ"/>
        </w:rPr>
        <w:t xml:space="preserve"> </w:t>
      </w:r>
      <w:r w:rsidR="00047C48" w:rsidRPr="00047C48">
        <w:rPr>
          <w:rFonts w:ascii="Times New Roman" w:hAnsi="Times New Roman"/>
          <w:bCs/>
          <w:sz w:val="28"/>
          <w:szCs w:val="28"/>
          <w:lang w:val="kk-KZ"/>
        </w:rPr>
        <w:t>Қорытынды емтихан «Универ жүйесінде» жазбаша өтеді.</w:t>
      </w:r>
      <w:r w:rsidRPr="00047C48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Тақырыптық мазмұны жұмыстардың барлық түрлерін қамтиды: дәрістер мен семинар та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kk-KZ"/>
        </w:rPr>
        <w:t>қырыптары және студенттердің өзіндік жұмыстарына арналған тапсырмалар.</w:t>
      </w:r>
    </w:p>
    <w:p w14:paraId="3A1F3EA9" w14:textId="77777777" w:rsidR="00357768" w:rsidRDefault="00357768" w:rsidP="0035776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BB3BD7F" w14:textId="77777777" w:rsidR="00357768" w:rsidRDefault="00357768" w:rsidP="00357768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1979A4C1" w14:textId="77777777" w:rsidR="00357768" w:rsidRDefault="00357768" w:rsidP="003577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6AB23E00" w14:textId="77777777" w:rsidR="00357768" w:rsidRDefault="00357768" w:rsidP="003577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5301878D" w14:textId="77777777" w:rsidR="00357768" w:rsidRDefault="00357768" w:rsidP="003577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7CBA083B" w14:textId="7373F42C" w:rsidR="00357768" w:rsidRDefault="00357768" w:rsidP="00357768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сұрақ 30 баллға, үшінші сұрақ 40 баллға дейін бағаланады. Емтихан кезінде студент университетте қабылданған талаптарды</w:t>
      </w:r>
      <w:r w:rsidR="008522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қатаң орындауы</w:t>
      </w:r>
      <w:r w:rsidR="0085220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тиіс (емтиханға кешікпеу, емтихан кезінде электрондық құралдарды қолданбау, көшірмеу, тыныштық сақтау</w:t>
      </w:r>
      <w:r w:rsidR="0076655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 т.б.).</w:t>
      </w:r>
    </w:p>
    <w:p w14:paraId="07DAC1BD" w14:textId="77777777" w:rsidR="00357768" w:rsidRDefault="00357768" w:rsidP="00357768">
      <w:pPr>
        <w:pStyle w:val="Default"/>
        <w:rPr>
          <w:color w:val="auto"/>
          <w:sz w:val="28"/>
          <w:szCs w:val="28"/>
          <w:lang w:val="kk-KZ"/>
        </w:rPr>
      </w:pPr>
    </w:p>
    <w:p w14:paraId="105E6DF2" w14:textId="77777777" w:rsidR="0076655B" w:rsidRPr="00F729EC" w:rsidRDefault="0076655B" w:rsidP="0076655B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F729EC"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11AC9FAE" w14:textId="77777777" w:rsidR="0076655B" w:rsidRPr="00F729EC" w:rsidRDefault="0076655B" w:rsidP="0076655B">
      <w:pPr>
        <w:suppressAutoHyphens/>
        <w:spacing w:after="0" w:line="0" w:lineRule="atLeast"/>
        <w:ind w:left="283" w:firstLine="425"/>
        <w:jc w:val="center"/>
        <w:rPr>
          <w:rFonts w:ascii="Times New Roman" w:hAnsi="Times New Roman"/>
          <w:caps/>
          <w:sz w:val="28"/>
          <w:szCs w:val="28"/>
          <w:lang w:val="kk-KZ"/>
        </w:rPr>
      </w:pPr>
    </w:p>
    <w:p w14:paraId="2676839F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Cs/>
          <w:sz w:val="28"/>
          <w:szCs w:val="28"/>
          <w:lang w:val="kk-KZ"/>
        </w:rPr>
        <w:t>Қоғам философиялық талдаудың объектісі ретінде.</w:t>
      </w:r>
    </w:p>
    <w:p w14:paraId="2BA42116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Қоғам жүйе ретінде. Қоғамның әлеуметтік құрылымы.</w:t>
      </w:r>
    </w:p>
    <w:p w14:paraId="529616EB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 xml:space="preserve">Қоғамдық өмір өркениеттік процесс ретінде. </w:t>
      </w:r>
    </w:p>
    <w:p w14:paraId="62FA0B9D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Тұлғаның философиялық проблемалары.</w:t>
      </w:r>
    </w:p>
    <w:p w14:paraId="2D9C6280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Әлеуметтік байланыстар жүйесіндегі адам.</w:t>
      </w:r>
    </w:p>
    <w:p w14:paraId="637B8185" w14:textId="77777777" w:rsidR="0076655B" w:rsidRPr="00F729EC" w:rsidRDefault="0076655B" w:rsidP="007665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729EC">
        <w:rPr>
          <w:rFonts w:ascii="Times New Roman" w:hAnsi="Times New Roman"/>
          <w:sz w:val="28"/>
          <w:szCs w:val="28"/>
          <w:lang w:val="kk-KZ"/>
        </w:rPr>
        <w:t>Экзистенциализм: қазіргі қоғамдағы адамның еркіндігі мен жауапкершілігі.</w:t>
      </w:r>
    </w:p>
    <w:p w14:paraId="1424ADED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Мәдениет және адамның рухани дүниесі.</w:t>
      </w:r>
    </w:p>
    <w:p w14:paraId="5E311212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«Ашық» және «жабық» қоғам туралы түсінік.</w:t>
      </w:r>
    </w:p>
    <w:p w14:paraId="1B8F267D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Р.Беллдің постиндустриальдық қоғам концепциясы.</w:t>
      </w:r>
    </w:p>
    <w:p w14:paraId="5DC45D1B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Өтпелі қоғамның әлеуметтік- мәдени трансформациясы.</w:t>
      </w:r>
    </w:p>
    <w:p w14:paraId="5134AA87" w14:textId="77777777" w:rsidR="0076655B" w:rsidRPr="00F729EC" w:rsidRDefault="0076655B" w:rsidP="0076655B">
      <w:pPr>
        <w:pStyle w:val="a3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Қоғамның постмодернистік концепциясы.</w:t>
      </w:r>
    </w:p>
    <w:p w14:paraId="6C7ECF16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Қоғам, техника, технологиялар</w:t>
      </w:r>
    </w:p>
    <w:p w14:paraId="57DB7B39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Миф және қоғам.</w:t>
      </w:r>
    </w:p>
    <w:p w14:paraId="1A1319D8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Евразияшылдық және қазақ қоғамының дамуы.</w:t>
      </w:r>
    </w:p>
    <w:p w14:paraId="69D328AA" w14:textId="77777777" w:rsidR="0076655B" w:rsidRPr="00F729EC" w:rsidRDefault="0076655B" w:rsidP="0076655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lastRenderedPageBreak/>
        <w:t>Қоғам және табиғат</w:t>
      </w:r>
    </w:p>
    <w:p w14:paraId="64CC009C" w14:textId="77777777" w:rsidR="0076655B" w:rsidRPr="00F729EC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1404E5F" w14:textId="77777777" w:rsidR="0076655B" w:rsidRPr="00F729EC" w:rsidRDefault="0076655B" w:rsidP="0076655B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1B0B42FE" w14:textId="77777777" w:rsidR="0076655B" w:rsidRPr="00F729EC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A15D1C2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521CC964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Кучевский В</w:t>
      </w:r>
      <w:r w:rsidRPr="00F729EC"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3566F595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 w:rsidRPr="00F729EC">
        <w:rPr>
          <w:rFonts w:ascii="Times New Roman" w:hAnsi="Times New Roman"/>
          <w:sz w:val="28"/>
          <w:szCs w:val="28"/>
        </w:rPr>
        <w:t>, 2012. – 336 с.</w:t>
      </w:r>
    </w:p>
    <w:p w14:paraId="49E814AB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676DBF28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784B55F7" w14:textId="77777777" w:rsidR="0076655B" w:rsidRPr="00F729EC" w:rsidRDefault="0076655B" w:rsidP="007665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7D2DEF45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64124B9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6C2AB462" w14:textId="77777777" w:rsidR="0076655B" w:rsidRDefault="0076655B" w:rsidP="0076655B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14:paraId="3D56F203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8F31D5" w14:textId="77777777" w:rsidR="0076655B" w:rsidRDefault="0076655B" w:rsidP="0076655B">
      <w:pPr>
        <w:spacing w:after="0" w:line="0" w:lineRule="atLeast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F77A2ED" w14:textId="77777777" w:rsidR="0076655B" w:rsidRDefault="0076655B" w:rsidP="0076655B">
      <w:pPr>
        <w:pStyle w:val="a3"/>
        <w:spacing w:after="160" w:line="256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3BB2432D" w14:textId="77777777" w:rsidR="0076655B" w:rsidRDefault="0076655B" w:rsidP="0076655B">
      <w:pPr>
        <w:spacing w:after="160" w:line="256" w:lineRule="auto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40C7F076" w14:textId="77777777" w:rsidR="0076655B" w:rsidRDefault="0076655B" w:rsidP="0076655B">
      <w:pPr>
        <w:spacing w:after="0" w:line="0" w:lineRule="atLeast"/>
        <w:ind w:left="720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5160B3E9" w14:textId="77777777" w:rsidR="0076655B" w:rsidRDefault="0076655B" w:rsidP="0076655B">
      <w:pPr>
        <w:pStyle w:val="Default"/>
        <w:jc w:val="center"/>
        <w:rPr>
          <w:rStyle w:val="20"/>
          <w:color w:val="auto"/>
          <w:sz w:val="28"/>
          <w:szCs w:val="28"/>
          <w:lang w:val="kk-KZ"/>
        </w:rPr>
      </w:pPr>
    </w:p>
    <w:p w14:paraId="05E2D1B5" w14:textId="77777777" w:rsidR="0076655B" w:rsidRDefault="0076655B" w:rsidP="0076655B"/>
    <w:p w14:paraId="03DC7519" w14:textId="77777777" w:rsidR="00847394" w:rsidRPr="00357768" w:rsidRDefault="00847394">
      <w:pPr>
        <w:rPr>
          <w:lang w:val="kk-KZ"/>
        </w:rPr>
      </w:pPr>
    </w:p>
    <w:sectPr w:rsidR="00847394" w:rsidRPr="0035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94"/>
    <w:rsid w:val="00047C48"/>
    <w:rsid w:val="00357768"/>
    <w:rsid w:val="0076655B"/>
    <w:rsid w:val="00847394"/>
    <w:rsid w:val="008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1E57"/>
  <w15:chartTrackingRefBased/>
  <w15:docId w15:val="{9AEDD938-FBFD-4C83-A2A9-60644C0A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76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5776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768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Default">
    <w:name w:val="Default"/>
    <w:rsid w:val="003577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5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3">
    <w:name w:val="List Paragraph"/>
    <w:basedOn w:val="a"/>
    <w:uiPriority w:val="99"/>
    <w:qFormat/>
    <w:rsid w:val="0076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2021-11-22T16:26:00Z</dcterms:created>
  <dcterms:modified xsi:type="dcterms:W3CDTF">2021-11-23T08:13:00Z</dcterms:modified>
</cp:coreProperties>
</file>